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686F6">
      <w:pPr>
        <w:snapToGrid w:val="0"/>
        <w:spacing w:line="360" w:lineRule="auto"/>
        <w:ind w:firstLine="630" w:firstLineChars="196"/>
        <w:rPr>
          <w:rFonts w:ascii="宋体" w:hAnsi="宋体" w:eastAsia="宋体"/>
          <w:b/>
          <w:sz w:val="32"/>
          <w:szCs w:val="32"/>
        </w:rPr>
      </w:pPr>
    </w:p>
    <w:p w14:paraId="1B526BA0">
      <w:pPr>
        <w:snapToGrid w:val="0"/>
        <w:spacing w:line="360" w:lineRule="auto"/>
        <w:rPr>
          <w:rFonts w:ascii="仿宋" w:hAnsi="仿宋" w:eastAsia="仿宋"/>
          <w:b/>
          <w:szCs w:val="28"/>
        </w:rPr>
      </w:pPr>
      <w:r>
        <w:rPr>
          <w:rFonts w:hint="eastAsia" w:ascii="仿宋" w:hAnsi="仿宋" w:eastAsia="仿宋"/>
          <w:b/>
          <w:szCs w:val="28"/>
        </w:rPr>
        <w:t>附表1</w:t>
      </w:r>
    </w:p>
    <w:p w14:paraId="159842BA">
      <w:pPr>
        <w:snapToGrid w:val="0"/>
        <w:spacing w:line="360" w:lineRule="auto"/>
        <w:jc w:val="center"/>
        <w:rPr>
          <w:rFonts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8"/>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5BE2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7B3DED9C">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33C8158A">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17FEB679">
            <w:pPr>
              <w:snapToGrid w:val="0"/>
              <w:spacing w:line="360" w:lineRule="auto"/>
              <w:rPr>
                <w:rFonts w:hint="default" w:ascii="宋体" w:hAnsi="宋体" w:eastAsia="宋体"/>
                <w:sz w:val="18"/>
                <w:szCs w:val="18"/>
                <w:lang w:val="en-US" w:eastAsia="zh-CN"/>
              </w:rPr>
            </w:pPr>
            <w:r>
              <w:rPr>
                <w:rFonts w:hint="default" w:ascii="宋体" w:hAnsi="宋体" w:eastAsia="宋体"/>
                <w:sz w:val="18"/>
                <w:szCs w:val="18"/>
                <w:lang w:val="en-US" w:eastAsia="zh-CN"/>
              </w:rPr>
              <w:t>建材产品使用说明书 建筑无机干粉涂装材料</w:t>
            </w:r>
          </w:p>
        </w:tc>
        <w:tc>
          <w:tcPr>
            <w:tcW w:w="1843" w:type="dxa"/>
            <w:gridSpan w:val="2"/>
            <w:vAlign w:val="center"/>
          </w:tcPr>
          <w:p w14:paraId="299E92B1">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3C1BBF49">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2E70E175">
            <w:pPr>
              <w:snapToGrid w:val="0"/>
              <w:spacing w:line="360" w:lineRule="auto"/>
              <w:rPr>
                <w:rFonts w:ascii="宋体" w:hAnsi="宋体" w:eastAsia="宋体"/>
                <w:sz w:val="18"/>
                <w:szCs w:val="18"/>
              </w:rPr>
            </w:pPr>
            <w:r>
              <w:rPr>
                <w:rFonts w:hint="eastAsia" w:ascii="宋体" w:hAnsi="宋体" w:eastAsia="宋体"/>
                <w:sz w:val="18"/>
                <w:szCs w:val="18"/>
              </w:rPr>
              <w:t xml:space="preserve">Operating manual of building materials products—Inorganic </w:t>
            </w:r>
            <w:r>
              <w:rPr>
                <w:rFonts w:hint="eastAsia" w:ascii="宋体" w:hAnsi="宋体" w:eastAsia="宋体"/>
                <w:sz w:val="18"/>
                <w:szCs w:val="18"/>
                <w:lang w:val="en-US" w:eastAsia="zh-CN"/>
              </w:rPr>
              <w:t>d</w:t>
            </w:r>
            <w:r>
              <w:rPr>
                <w:rFonts w:hint="eastAsia" w:ascii="宋体" w:hAnsi="宋体" w:eastAsia="宋体"/>
                <w:sz w:val="18"/>
                <w:szCs w:val="18"/>
              </w:rPr>
              <w:t xml:space="preserve">ry Powder </w:t>
            </w:r>
            <w:r>
              <w:rPr>
                <w:rFonts w:hint="eastAsia" w:ascii="宋体" w:hAnsi="宋体" w:eastAsia="宋体"/>
                <w:sz w:val="18"/>
                <w:szCs w:val="18"/>
                <w:lang w:val="en-US" w:eastAsia="zh-CN"/>
              </w:rPr>
              <w:t>c</w:t>
            </w:r>
            <w:r>
              <w:rPr>
                <w:rFonts w:hint="eastAsia" w:ascii="宋体" w:hAnsi="宋体" w:eastAsia="宋体"/>
                <w:sz w:val="18"/>
                <w:szCs w:val="18"/>
              </w:rPr>
              <w:t xml:space="preserve">oating </w:t>
            </w:r>
            <w:r>
              <w:rPr>
                <w:rFonts w:hint="eastAsia" w:ascii="宋体" w:hAnsi="宋体" w:eastAsia="宋体"/>
                <w:sz w:val="18"/>
                <w:szCs w:val="18"/>
                <w:lang w:val="en-US" w:eastAsia="zh-CN"/>
              </w:rPr>
              <w:t>m</w:t>
            </w:r>
            <w:r>
              <w:rPr>
                <w:rFonts w:hint="eastAsia" w:ascii="宋体" w:hAnsi="宋体" w:eastAsia="宋体"/>
                <w:sz w:val="18"/>
                <w:szCs w:val="18"/>
              </w:rPr>
              <w:t xml:space="preserve">aterials for </w:t>
            </w:r>
            <w:r>
              <w:rPr>
                <w:rFonts w:hint="eastAsia" w:ascii="宋体" w:hAnsi="宋体" w:eastAsia="宋体"/>
                <w:sz w:val="18"/>
                <w:szCs w:val="18"/>
                <w:lang w:val="en-US" w:eastAsia="zh-CN"/>
              </w:rPr>
              <w:t>c</w:t>
            </w:r>
            <w:r>
              <w:rPr>
                <w:rFonts w:hint="eastAsia" w:ascii="宋体" w:hAnsi="宋体" w:eastAsia="宋体"/>
                <w:sz w:val="18"/>
                <w:szCs w:val="18"/>
              </w:rPr>
              <w:t>onstruction </w:t>
            </w:r>
          </w:p>
        </w:tc>
      </w:tr>
      <w:tr w14:paraId="7FEA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14:paraId="01F3B627">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14:paraId="4F0AD6E4">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rPr>
              <w:t xml:space="preserve"> 制定</w:t>
            </w:r>
          </w:p>
        </w:tc>
        <w:tc>
          <w:tcPr>
            <w:tcW w:w="1468" w:type="dxa"/>
            <w:gridSpan w:val="2"/>
            <w:vAlign w:val="center"/>
          </w:tcPr>
          <w:p w14:paraId="7693BC2D">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14:paraId="2B8ECAB2">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14:paraId="1695D9B2">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14:paraId="60BB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5230C168">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14:paraId="3F783A4F">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14:paraId="53C5FCF1">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928" w:type="dxa"/>
            <w:vAlign w:val="center"/>
          </w:tcPr>
          <w:p w14:paraId="02C4A625">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843" w:type="dxa"/>
            <w:gridSpan w:val="2"/>
            <w:vAlign w:val="center"/>
          </w:tcPr>
          <w:p w14:paraId="052E639C">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14:paraId="3C3603A4">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14:paraId="73A1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1D6D0708">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14:paraId="11170193">
            <w:pPr>
              <w:snapToGrid w:val="0"/>
              <w:spacing w:line="360" w:lineRule="auto"/>
              <w:rPr>
                <w:rFonts w:ascii="宋体" w:hAnsi="宋体" w:eastAsia="宋体"/>
                <w:sz w:val="18"/>
                <w:szCs w:val="18"/>
              </w:rPr>
            </w:pPr>
          </w:p>
        </w:tc>
        <w:tc>
          <w:tcPr>
            <w:tcW w:w="1843" w:type="dxa"/>
            <w:gridSpan w:val="2"/>
            <w:vAlign w:val="center"/>
          </w:tcPr>
          <w:p w14:paraId="4AB42558">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14:paraId="59EBA5A0">
            <w:pPr>
              <w:snapToGrid w:val="0"/>
              <w:spacing w:line="360" w:lineRule="auto"/>
              <w:rPr>
                <w:rFonts w:ascii="宋体" w:hAnsi="宋体" w:eastAsia="宋体"/>
                <w:sz w:val="18"/>
                <w:szCs w:val="18"/>
              </w:rPr>
            </w:pPr>
          </w:p>
        </w:tc>
      </w:tr>
      <w:tr w14:paraId="045DA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7BCE70BF">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14:paraId="3A57D82C">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91.100</w:t>
            </w:r>
            <w:r>
              <w:rPr>
                <w:rFonts w:hint="eastAsia" w:ascii="宋体" w:hAnsi="宋体" w:eastAsia="宋体"/>
                <w:sz w:val="18"/>
                <w:szCs w:val="18"/>
                <w:lang w:val="en-US" w:eastAsia="zh-CN"/>
              </w:rPr>
              <w:t>.01</w:t>
            </w:r>
          </w:p>
        </w:tc>
        <w:tc>
          <w:tcPr>
            <w:tcW w:w="1843" w:type="dxa"/>
            <w:gridSpan w:val="2"/>
            <w:vAlign w:val="center"/>
          </w:tcPr>
          <w:p w14:paraId="089A211D">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14:paraId="4D142586">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 xml:space="preserve">Q </w:t>
            </w:r>
            <w:r>
              <w:rPr>
                <w:rFonts w:hint="eastAsia" w:ascii="宋体" w:hAnsi="宋体" w:eastAsia="宋体"/>
                <w:sz w:val="18"/>
                <w:szCs w:val="18"/>
                <w:lang w:val="en-US" w:eastAsia="zh-CN"/>
              </w:rPr>
              <w:t>01</w:t>
            </w:r>
          </w:p>
        </w:tc>
      </w:tr>
      <w:tr w14:paraId="3C1E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14:paraId="703AEE81">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14:paraId="1F5DEFD9">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中国建筑材料科学研究总院有限公司、</w:t>
            </w:r>
            <w:r>
              <w:rPr>
                <w:rFonts w:hint="eastAsia" w:ascii="宋体" w:hAnsi="宋体" w:eastAsia="宋体"/>
                <w:sz w:val="18"/>
                <w:szCs w:val="18"/>
                <w:lang w:val="en-US" w:eastAsia="zh-CN"/>
              </w:rPr>
              <w:t>山西玉竹新材料科技股份有限公司、三棵树涂料股份有限公司、</w:t>
            </w:r>
            <w:r>
              <w:rPr>
                <w:rFonts w:hint="eastAsia" w:ascii="宋体" w:hAnsi="宋体" w:eastAsia="宋体"/>
                <w:sz w:val="18"/>
                <w:szCs w:val="18"/>
              </w:rPr>
              <w:t>兰舍硅藻新材料有限公司</w:t>
            </w:r>
          </w:p>
        </w:tc>
        <w:tc>
          <w:tcPr>
            <w:tcW w:w="1843" w:type="dxa"/>
            <w:gridSpan w:val="2"/>
            <w:vAlign w:val="center"/>
          </w:tcPr>
          <w:p w14:paraId="6BFC40DC">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14:paraId="12252B6E">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2026.6-2027.8</w:t>
            </w:r>
          </w:p>
        </w:tc>
      </w:tr>
      <w:tr w14:paraId="1A68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14:paraId="2ED5D36E">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58062EF5">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14:paraId="58837E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ascii="宋体" w:hAnsi="宋体" w:eastAsia="宋体"/>
                <w:sz w:val="18"/>
                <w:szCs w:val="18"/>
              </w:rPr>
            </w:pPr>
          </w:p>
          <w:p w14:paraId="539140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7F5422E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本标准的立项旨在为功能型的“无机干粉涂料”这一细分建材产品，专门规定其使用说明书的编制要求，填补现行标准体系中该类功能性产品说明书无统一技术规范的空白。通过明确产品名称、主要成分、安全特性、施工方法以及最为核心的空气净化性能和微生物防治性能的表述要求，引导生产企业科学、客观、规范地编写说明书，确保用户能够准确理解产品的功能、适用范围、使用条件和安全注意事项。本标准同时为政府部门、检测机构、消费者权益保护组织等提供评价说明书合规性的技术依据，从而推动无机干粉涂料产品从“功能宣称”走向“数据支撑、规范告知”的良性发展轨道。</w:t>
            </w:r>
          </w:p>
          <w:p w14:paraId="2FFE89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当前，随着人们对室内空气质量与微生物污染健康风险的日益重视，市场上涌现出大量宣称具有“除甲醛”“抗菌”“抗病毒”等功能的无机干粉涂料产品。然而，各企业产品说明书的编写水平参差不齐，普遍存在功能宣称模糊、性能指标缺失、试验条件不透明、安全提示不充分等问题，甚至出现夸大宣传、以偏概全、误导消费者的现象。一方面，现行《建材产品使用说明书 通用要求》虽然规定了说明书的基本框架，但无法针对化学净化与微生物防治这类特殊功能提出专业、细化的约束条款；另一方面，现有产品标准主要规定产品本身的技术指标，对说明书中如何呈现这些指标、如何告知用户功能局限性和使用条件等内容缺乏系统规范。本标准将产品标准中的技术性能与使用说明书有机衔接，要求企业以显著方式标明每项功能的试验菌种、净化效率、执行标准编号、影响因素及功能持久性等关键信息，并对禁止不实宣称作出明确提示。这不仅有助于保护消费者的知情权和健康安全，也能倒逼企业提升产品质量和诚信水平，促进涂料行业从“概念炒作”向“价值交付”转型，对于规范室内环保建材市场、推动行业高质量发展具有深远意义。</w:t>
            </w:r>
          </w:p>
          <w:p w14:paraId="4F43788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本标准主要涉及以下五个方面：</w:t>
            </w:r>
            <w:r>
              <w:rPr>
                <w:rFonts w:hint="eastAsia" w:ascii="宋体" w:hAnsi="宋体" w:eastAsia="宋体" w:cs="宋体"/>
                <w:b/>
                <w:bCs/>
                <w:sz w:val="18"/>
                <w:szCs w:val="18"/>
                <w:lang w:val="en-US" w:eastAsia="zh-CN"/>
              </w:rPr>
              <w:t>第一，产品标识与成分披露，</w:t>
            </w:r>
            <w:r>
              <w:rPr>
                <w:rFonts w:hint="eastAsia" w:ascii="宋体" w:hAnsi="宋体" w:eastAsia="宋体" w:cs="宋体"/>
                <w:b w:val="0"/>
                <w:bCs w:val="0"/>
                <w:sz w:val="18"/>
                <w:szCs w:val="18"/>
                <w:lang w:val="en-US" w:eastAsia="zh-CN"/>
              </w:rPr>
              <w:t>要求说明书中标明通用名称、商品名称、主要化学成分与物理成分，并特别强调对功能助剂（如光催化材料、抗菌助剂等）进行合规表述。</w:t>
            </w:r>
            <w:r>
              <w:rPr>
                <w:rFonts w:hint="eastAsia" w:ascii="宋体" w:hAnsi="宋体" w:eastAsia="宋体" w:cs="宋体"/>
                <w:b/>
                <w:bCs/>
                <w:sz w:val="18"/>
                <w:szCs w:val="18"/>
                <w:lang w:val="en-US" w:eastAsia="zh-CN"/>
              </w:rPr>
              <w:t>第二，防治性能的分项规范</w:t>
            </w:r>
            <w:r>
              <w:rPr>
                <w:rFonts w:hint="eastAsia" w:ascii="宋体" w:hAnsi="宋体" w:eastAsia="宋体" w:cs="宋体"/>
                <w:b w:val="0"/>
                <w:bCs w:val="0"/>
                <w:sz w:val="18"/>
                <w:szCs w:val="18"/>
                <w:lang w:val="en-US" w:eastAsia="zh-CN"/>
              </w:rPr>
              <w:t>，针对空气净化性能，要求逐一列出净化目标污染物名称、净化效率、净化持久性、试验方法及执行标准；针对微生物防治性能，要求明确抗细菌、抗霉菌、抗病毒功能的具体类型，分别给出试验菌种（或病毒）名称、抗菌率（或抗病毒率）、抗霉菌等级、作用机理以及功能持久性影响因素。</w:t>
            </w:r>
            <w:r>
              <w:rPr>
                <w:rFonts w:hint="eastAsia" w:ascii="宋体" w:hAnsi="宋体" w:eastAsia="宋体" w:cs="宋体"/>
                <w:b/>
                <w:bCs/>
                <w:sz w:val="18"/>
                <w:szCs w:val="18"/>
                <w:lang w:val="en-US" w:eastAsia="zh-CN"/>
              </w:rPr>
              <w:t>第三，安全特性与防护措施</w:t>
            </w:r>
            <w:r>
              <w:rPr>
                <w:rFonts w:hint="eastAsia" w:ascii="宋体" w:hAnsi="宋体" w:eastAsia="宋体" w:cs="宋体"/>
                <w:b w:val="0"/>
                <w:bCs w:val="0"/>
                <w:sz w:val="18"/>
                <w:szCs w:val="18"/>
                <w:lang w:val="en-US" w:eastAsia="zh-CN"/>
              </w:rPr>
              <w:t>，包括产品的易燃易爆性、毒性、腐蚀性等安全信息，以及施工粉尘防护、意外接触处理方法等内容。</w:t>
            </w:r>
            <w:r>
              <w:rPr>
                <w:rFonts w:hint="eastAsia" w:ascii="宋体" w:hAnsi="宋体" w:eastAsia="宋体" w:cs="宋体"/>
                <w:b/>
                <w:bCs/>
                <w:sz w:val="18"/>
                <w:szCs w:val="18"/>
                <w:lang w:val="en-US" w:eastAsia="zh-CN"/>
              </w:rPr>
              <w:t>第四，使用与施工要求</w:t>
            </w:r>
            <w:r>
              <w:rPr>
                <w:rFonts w:hint="eastAsia" w:ascii="宋体" w:hAnsi="宋体" w:eastAsia="宋体" w:cs="宋体"/>
                <w:b w:val="0"/>
                <w:bCs w:val="0"/>
                <w:sz w:val="18"/>
                <w:szCs w:val="18"/>
                <w:lang w:val="en-US" w:eastAsia="zh-CN"/>
              </w:rPr>
              <w:t>，涵盖适用范围、限用范围、环境条件、施工工艺、涂布量、养护条件及入住时间建议等。</w:t>
            </w:r>
            <w:r>
              <w:rPr>
                <w:rFonts w:hint="eastAsia" w:ascii="宋体" w:hAnsi="宋体" w:eastAsia="宋体" w:cs="宋体"/>
                <w:b/>
                <w:bCs/>
                <w:sz w:val="18"/>
                <w:szCs w:val="18"/>
                <w:lang w:val="en-US" w:eastAsia="zh-CN"/>
              </w:rPr>
              <w:t>第五，产品有效期与废弃处置</w:t>
            </w:r>
            <w:r>
              <w:rPr>
                <w:rFonts w:hint="eastAsia" w:ascii="宋体" w:hAnsi="宋体" w:eastAsia="宋体" w:cs="宋体"/>
                <w:b w:val="0"/>
                <w:bCs w:val="0"/>
                <w:sz w:val="18"/>
                <w:szCs w:val="18"/>
                <w:lang w:val="en-US" w:eastAsia="zh-CN"/>
              </w:rPr>
              <w:t>，包括贮存条件、保质期、失效判定方法及包装材料的可回收说明。以上方面共同构成了覆盖产品全生命周期的信息闭环，从生产、施工到使用与废弃，均对说明书提出了可操作、可验证的技术要求。</w:t>
            </w:r>
          </w:p>
          <w:p w14:paraId="6FAA761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本标准重点解决以下几类突出问题：</w:t>
            </w:r>
            <w:r>
              <w:rPr>
                <w:rFonts w:hint="eastAsia" w:ascii="宋体" w:hAnsi="宋体" w:eastAsia="宋体" w:cs="宋体"/>
                <w:b/>
                <w:bCs/>
                <w:sz w:val="18"/>
                <w:szCs w:val="18"/>
                <w:lang w:val="en-US" w:eastAsia="zh-CN"/>
              </w:rPr>
              <w:t>一是功能宣称无据可查的问题</w:t>
            </w:r>
            <w:r>
              <w:rPr>
                <w:rFonts w:hint="eastAsia" w:ascii="宋体" w:hAnsi="宋体" w:eastAsia="宋体" w:cs="宋体"/>
                <w:b w:val="0"/>
                <w:bCs w:val="0"/>
                <w:sz w:val="18"/>
                <w:szCs w:val="18"/>
                <w:lang w:val="en-US" w:eastAsia="zh-CN"/>
              </w:rPr>
              <w:t>。部分产品说明书仅笼统标注“净化甲醛”“抗菌”等词汇，却不提供具体的净化效率、试验菌种、测试标准等信息，导致消费者无法判断产品真实效果。本标准强制要求附上完整的性能指标和执行标准编号，使每一个功能宣称都有对应的试验数据作为支撑。</w:t>
            </w:r>
            <w:r>
              <w:rPr>
                <w:rFonts w:hint="eastAsia" w:ascii="宋体" w:hAnsi="宋体" w:eastAsia="宋体" w:cs="宋体"/>
                <w:b/>
                <w:bCs/>
                <w:sz w:val="18"/>
                <w:szCs w:val="18"/>
                <w:lang w:val="en-US" w:eastAsia="zh-CN"/>
              </w:rPr>
              <w:t>二是性能数据信息不透明、易误导的问题</w:t>
            </w:r>
            <w:r>
              <w:rPr>
                <w:rFonts w:hint="eastAsia" w:ascii="宋体" w:hAnsi="宋体" w:eastAsia="宋体" w:cs="宋体"/>
                <w:b w:val="0"/>
                <w:bCs w:val="0"/>
                <w:sz w:val="18"/>
                <w:szCs w:val="18"/>
                <w:lang w:val="en-US" w:eastAsia="zh-CN"/>
              </w:rPr>
              <w:t>。一些企业采用极端的实验室条件获得优异数据，却不告知用户实际使用中涂布量、温湿度、污染物初始浓度、光照条件等因素会显著影响效果。本标准要求说明书中明确提示上述影响因素，并对净化持久性、功能有效期给出合理说明，防止用户产生不切实际的预期。</w:t>
            </w:r>
            <w:r>
              <w:rPr>
                <w:rFonts w:hint="eastAsia" w:ascii="宋体" w:hAnsi="宋体" w:eastAsia="宋体" w:cs="宋体"/>
                <w:b/>
                <w:bCs/>
                <w:sz w:val="18"/>
                <w:szCs w:val="18"/>
                <w:lang w:val="en-US" w:eastAsia="zh-CN"/>
              </w:rPr>
              <w:t>三是安全警示和施工指导缺失的问题</w:t>
            </w:r>
            <w:r>
              <w:rPr>
                <w:rFonts w:hint="eastAsia" w:ascii="宋体" w:hAnsi="宋体" w:eastAsia="宋体" w:cs="宋体"/>
                <w:b w:val="0"/>
                <w:bCs w:val="0"/>
                <w:sz w:val="18"/>
                <w:szCs w:val="18"/>
                <w:lang w:val="en-US" w:eastAsia="zh-CN"/>
              </w:rPr>
              <w:t>。无机干粉涂料在施工过程中会产生粉尘，部分产品可能含有特定功能性成分，若未提供个人防护措施、通风要求及养护条件，极易造成施工人员健康损害或产品功能失效。本标准设专条要求详细列出防护措施、意外处理方法、施工环境条件和入住前通风时间，最大限度降低使用风险。</w:t>
            </w:r>
            <w:r>
              <w:rPr>
                <w:rFonts w:hint="eastAsia" w:ascii="宋体" w:hAnsi="宋体" w:eastAsia="宋体" w:cs="宋体"/>
                <w:b/>
                <w:bCs/>
                <w:sz w:val="18"/>
                <w:szCs w:val="18"/>
                <w:lang w:val="en-US" w:eastAsia="zh-CN"/>
              </w:rPr>
              <w:t>四是产品更新与废弃环节的信息断层问题。</w:t>
            </w:r>
            <w:r>
              <w:rPr>
                <w:rFonts w:hint="eastAsia" w:ascii="宋体" w:hAnsi="宋体" w:eastAsia="宋体" w:cs="宋体"/>
                <w:b w:val="0"/>
                <w:bCs w:val="0"/>
                <w:sz w:val="18"/>
                <w:szCs w:val="18"/>
                <w:lang w:val="en-US" w:eastAsia="zh-CN"/>
              </w:rPr>
              <w:t>用户往往不知道产品过期后能否使用、失效产品如何处置、包装材料如何回收。本标准要求说明书中明确保质期、失效判定方法及废弃处置建议，推动资源循环利用，减少建筑垃圾无序排放。通过以上系统性规范，本标准期望全面提升无机干粉涂料产品说明书的科学性、完整性和可读性，最终实现保护使用者健康安全、保障市场公平交易、促进行业技术进步和绿色发展的多重目标。</w:t>
            </w:r>
          </w:p>
          <w:p w14:paraId="6BF2A5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p>
        </w:tc>
      </w:tr>
      <w:tr w14:paraId="78B3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9" w:hRule="atLeast"/>
          <w:jc w:val="center"/>
        </w:trPr>
        <w:tc>
          <w:tcPr>
            <w:tcW w:w="2167" w:type="dxa"/>
            <w:vAlign w:val="center"/>
          </w:tcPr>
          <w:p w14:paraId="2016E5C4">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7787D5AE">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14:paraId="15FE3369">
            <w:pPr>
              <w:snapToGrid w:val="0"/>
              <w:spacing w:line="360" w:lineRule="auto"/>
              <w:ind w:firstLine="360" w:firstLineChars="200"/>
              <w:rPr>
                <w:rFonts w:hint="eastAsia" w:ascii="宋体" w:hAnsi="宋体" w:eastAsia="宋体"/>
                <w:sz w:val="18"/>
                <w:szCs w:val="18"/>
                <w:u w:val="single"/>
              </w:rPr>
            </w:pPr>
            <w:r>
              <w:rPr>
                <w:rFonts w:hint="eastAsia" w:ascii="宋体" w:hAnsi="宋体" w:eastAsia="宋体"/>
                <w:sz w:val="18"/>
                <w:szCs w:val="18"/>
                <w:u w:val="single"/>
              </w:rPr>
              <w:t>标准的技术内容与适用范围；</w:t>
            </w:r>
          </w:p>
          <w:p w14:paraId="0B0646DA">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本文件规定了建筑无机干粉涂装材料产品使用说明书的基本要求、编制要求、主要构成和编写示例。</w:t>
            </w:r>
          </w:p>
          <w:p w14:paraId="0F905F19">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本文件适用于具有降低室内甲醛、挥发性有机化合物（VOCs）等化学污染物浓度及/或具有抑制（杀灭）细菌、霉菌、病毒等微生物功能的建筑无机干粉涂装材料产品使用说明书的编写。</w:t>
            </w:r>
          </w:p>
          <w:p w14:paraId="2F68367B">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主要技术内容：</w:t>
            </w:r>
          </w:p>
          <w:p w14:paraId="18D24020">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r>
              <w:rPr>
                <w:rFonts w:hint="eastAsia" w:ascii="宋体" w:hAnsi="宋体" w:eastAsia="宋体"/>
                <w:sz w:val="18"/>
                <w:szCs w:val="18"/>
                <w:u w:val="none"/>
                <w:lang w:val="en-US" w:eastAsia="zh-CN"/>
              </w:rPr>
              <w:t>术语和定义：无机干粉涂装材料、空气净化性能、抗菌性能 、抗病毒性能 、防霉性能等定义。</w:t>
            </w:r>
          </w:p>
          <w:p w14:paraId="63EF80D8">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基本要求</w:t>
            </w:r>
          </w:p>
          <w:p w14:paraId="3BC3DB40">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编制要求：说明书中关于产品污染防护功能的文字表述应基于经认可的检测报告或第三方认证结果，不应使用“零甲醛”“绝对抗菌”等绝对化用语。说明书中涉及化学污染物净化效率、抗菌率等量化指标时，应在括号内注明检测方法和检测条件，例如“甲醛净化效率≥85%（依据JC/T 1074，24h）”。说明书中安全警告内容涉及功能组分可能引起的过敏反应或刺激性时，应采用本文件 规定的方式（较大字号、不同字体、特殊符号、不同颜色）显著突出。对宣称多重防护功能（如兼具净化甲醛与抗菌功能）的产品，说明书中应按功能分别标注，不得混淆或合并表述导致用户对功能产生误解。电子说明书如包含功能演示视频，应确保视频内容真实反映产品在典型使用条件下的实际效果，不应使用仿真特效或误导性对比。</w:t>
            </w:r>
          </w:p>
          <w:p w14:paraId="1C0622DF">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主要构成：标题、标识、版本号和发布日期、主题内容、生产日期等。</w:t>
            </w:r>
          </w:p>
          <w:p w14:paraId="6FE9E75A">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default" w:ascii="宋体" w:hAnsi="宋体" w:eastAsia="宋体"/>
                <w:sz w:val="18"/>
                <w:szCs w:val="18"/>
                <w:u w:val="none"/>
                <w:lang w:val="en-US" w:eastAsia="zh-CN"/>
              </w:rPr>
              <w:t>防治室内化学与微生物污染性能</w:t>
            </w:r>
            <w:r>
              <w:rPr>
                <w:rFonts w:hint="eastAsia" w:ascii="宋体" w:hAnsi="宋体" w:eastAsia="宋体"/>
                <w:sz w:val="18"/>
                <w:szCs w:val="18"/>
                <w:u w:val="none"/>
                <w:lang w:val="en-US" w:eastAsia="zh-CN"/>
              </w:rPr>
              <w:t>内容</w:t>
            </w:r>
          </w:p>
          <w:p w14:paraId="23024652">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r>
              <w:rPr>
                <w:rFonts w:hint="eastAsia" w:ascii="宋体" w:hAnsi="宋体" w:eastAsia="宋体"/>
                <w:sz w:val="18"/>
                <w:szCs w:val="18"/>
                <w:u w:val="none"/>
                <w:lang w:val="en-US" w:eastAsia="zh-CN"/>
              </w:rPr>
              <w:t>编写示例</w:t>
            </w:r>
          </w:p>
        </w:tc>
      </w:tr>
      <w:tr w14:paraId="3516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2167" w:type="dxa"/>
            <w:vAlign w:val="center"/>
          </w:tcPr>
          <w:p w14:paraId="7D419C19">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091F2DE0">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14:paraId="27686E47">
            <w:pPr>
              <w:numPr>
                <w:ilvl w:val="0"/>
                <w:numId w:val="4"/>
              </w:numPr>
              <w:snapToGrid w:val="0"/>
              <w:spacing w:line="360" w:lineRule="auto"/>
              <w:rPr>
                <w:rFonts w:hint="eastAsia" w:ascii="宋体" w:hAnsi="宋体" w:eastAsia="宋体"/>
                <w:b/>
                <w:bCs/>
                <w:sz w:val="18"/>
                <w:szCs w:val="18"/>
              </w:rPr>
            </w:pPr>
            <w:r>
              <w:rPr>
                <w:rFonts w:hint="eastAsia" w:ascii="宋体" w:hAnsi="宋体" w:eastAsia="宋体"/>
                <w:b/>
                <w:bCs/>
                <w:sz w:val="18"/>
                <w:szCs w:val="18"/>
                <w:u w:val="single"/>
              </w:rPr>
              <w:t>国内外对该技术研究情况简要说明：</w:t>
            </w:r>
            <w:r>
              <w:rPr>
                <w:rFonts w:hint="eastAsia" w:ascii="宋体" w:hAnsi="宋体" w:eastAsia="宋体"/>
                <w:b/>
                <w:bCs/>
                <w:sz w:val="18"/>
                <w:szCs w:val="18"/>
              </w:rPr>
              <w:t>国内外对该技术研究情况、进程及未来的发展；该技术是否相对稳定，如果不是的话，预计一下技术未来稳定的时间，提出的标准项目是否可作为未来技术发展的基础；</w:t>
            </w:r>
          </w:p>
          <w:p w14:paraId="5622209D">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eastAsia" w:ascii="宋体" w:hAnsi="宋体" w:eastAsia="宋体" w:cs="宋体"/>
                <w:sz w:val="18"/>
                <w:szCs w:val="18"/>
                <w:u w:val="none"/>
                <w:lang w:val="en-US" w:eastAsia="zh-CN"/>
              </w:rPr>
              <w:t>功能型</w:t>
            </w:r>
            <w:r>
              <w:rPr>
                <w:rFonts w:hint="default" w:ascii="宋体" w:hAnsi="宋体" w:eastAsia="宋体" w:cs="宋体"/>
                <w:sz w:val="18"/>
                <w:szCs w:val="18"/>
                <w:u w:val="none"/>
                <w:lang w:val="en-US" w:eastAsia="zh-CN"/>
              </w:rPr>
              <w:t>无机干粉涂料是建筑涂料领域近年来发展最为活跃的方向之一。从国际来看，疫情后全球对室内环境健康防护的关注显著提升，抗菌抗病毒</w:t>
            </w:r>
            <w:r>
              <w:rPr>
                <w:rFonts w:hint="eastAsia" w:ascii="宋体" w:hAnsi="宋体" w:eastAsia="宋体" w:cs="宋体"/>
                <w:sz w:val="18"/>
                <w:szCs w:val="18"/>
                <w:u w:val="none"/>
                <w:lang w:val="en-US" w:eastAsia="zh-CN"/>
              </w:rPr>
              <w:t>干粉涂料</w:t>
            </w:r>
            <w:r>
              <w:rPr>
                <w:rFonts w:hint="default" w:ascii="宋体" w:hAnsi="宋体" w:eastAsia="宋体" w:cs="宋体"/>
                <w:sz w:val="18"/>
                <w:szCs w:val="18"/>
                <w:u w:val="none"/>
                <w:lang w:val="en-US" w:eastAsia="zh-CN"/>
              </w:rPr>
              <w:t>市场增长迅猛。从技术路径看，以纳米二氧化钛为代表的光催化材料是该领域的核心技术基础。光催化材料可在光激发下产生活性氧物种，同步实现污染物的降解与微生物灭活，具有绿色、长效、低能耗等优势，已在全球范围内获得广泛研究。此外，加拿大与韩国联合团队研发的透明自消毒涂层等国际前沿成果不断涌现，体现了该领域研发投入和技术迭代的活跃态势。在标准化方面，国际上已有ISO 22196、ISO 21702等抗菌测试标准，中国更于2025年牵头推动了ISO 25718《非多孔材料表面抗空气传播的病毒活性测试方法》国际标准的立项，中国、加拿大、爱沙尼亚、芬兰、法国、德国等9国共同参与研制，标志着中国在该领域的标准化话语权正在提升。</w:t>
            </w:r>
          </w:p>
          <w:p w14:paraId="5085DFBF">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从国内来看，该技术领域的研究持续深入，产业化进程不断加快。</w:t>
            </w:r>
            <w:r>
              <w:rPr>
                <w:rFonts w:hint="default" w:ascii="宋体" w:hAnsi="宋体" w:eastAsia="宋体" w:cs="宋体"/>
                <w:b/>
                <w:bCs/>
                <w:sz w:val="18"/>
                <w:szCs w:val="18"/>
                <w:u w:val="single"/>
                <w:lang w:val="en-US" w:eastAsia="zh-CN"/>
              </w:rPr>
              <w:t>无机干粉建筑涂料的基础产品标准J</w:t>
            </w:r>
            <w:r>
              <w:rPr>
                <w:rFonts w:hint="eastAsia" w:ascii="宋体" w:hAnsi="宋体" w:eastAsia="宋体" w:cs="宋体"/>
                <w:b/>
                <w:bCs/>
                <w:sz w:val="18"/>
                <w:szCs w:val="18"/>
                <w:u w:val="single"/>
                <w:lang w:val="en-US" w:eastAsia="zh-CN"/>
              </w:rPr>
              <w:t>C</w:t>
            </w:r>
            <w:r>
              <w:rPr>
                <w:rFonts w:hint="default" w:ascii="宋体" w:hAnsi="宋体" w:eastAsia="宋体" w:cs="宋体"/>
                <w:b/>
                <w:bCs/>
                <w:sz w:val="18"/>
                <w:szCs w:val="18"/>
                <w:u w:val="single"/>
                <w:lang w:val="en-US" w:eastAsia="zh-CN"/>
              </w:rPr>
              <w:t xml:space="preserve">/T </w:t>
            </w:r>
            <w:r>
              <w:rPr>
                <w:rFonts w:hint="eastAsia" w:ascii="宋体" w:hAnsi="宋体" w:eastAsia="宋体" w:cs="宋体"/>
                <w:b/>
                <w:bCs/>
                <w:sz w:val="18"/>
                <w:szCs w:val="18"/>
                <w:u w:val="single"/>
                <w:lang w:val="en-US" w:eastAsia="zh-CN"/>
              </w:rPr>
              <w:t>2083</w:t>
            </w:r>
            <w:r>
              <w:rPr>
                <w:rFonts w:hint="default" w:ascii="宋体" w:hAnsi="宋体" w:eastAsia="宋体" w:cs="宋体"/>
                <w:b/>
                <w:bCs/>
                <w:sz w:val="18"/>
                <w:szCs w:val="18"/>
                <w:u w:val="single"/>
                <w:lang w:val="en-US" w:eastAsia="zh-CN"/>
              </w:rPr>
              <w:t>-201</w:t>
            </w:r>
            <w:r>
              <w:rPr>
                <w:rFonts w:hint="eastAsia" w:ascii="宋体" w:hAnsi="宋体" w:eastAsia="宋体" w:cs="宋体"/>
                <w:b/>
                <w:bCs/>
                <w:sz w:val="18"/>
                <w:szCs w:val="18"/>
                <w:u w:val="single"/>
                <w:lang w:val="en-US" w:eastAsia="zh-CN"/>
              </w:rPr>
              <w:t>1</w:t>
            </w:r>
            <w:r>
              <w:rPr>
                <w:rFonts w:hint="default" w:ascii="宋体" w:hAnsi="宋体" w:eastAsia="宋体" w:cs="宋体"/>
                <w:b/>
                <w:bCs/>
                <w:sz w:val="18"/>
                <w:szCs w:val="18"/>
                <w:u w:val="single"/>
                <w:lang w:val="en-US" w:eastAsia="zh-CN"/>
              </w:rPr>
              <w:t>自201</w:t>
            </w:r>
            <w:r>
              <w:rPr>
                <w:rFonts w:hint="eastAsia" w:ascii="宋体" w:hAnsi="宋体" w:eastAsia="宋体" w:cs="宋体"/>
                <w:b/>
                <w:bCs/>
                <w:sz w:val="18"/>
                <w:szCs w:val="18"/>
                <w:u w:val="single"/>
                <w:lang w:val="en-US" w:eastAsia="zh-CN"/>
              </w:rPr>
              <w:t>1</w:t>
            </w:r>
            <w:r>
              <w:rPr>
                <w:rFonts w:hint="default" w:ascii="宋体" w:hAnsi="宋体" w:eastAsia="宋体" w:cs="宋体"/>
                <w:b/>
                <w:bCs/>
                <w:sz w:val="18"/>
                <w:szCs w:val="18"/>
                <w:u w:val="single"/>
                <w:lang w:val="en-US" w:eastAsia="zh-CN"/>
              </w:rPr>
              <w:t>年实施，</w:t>
            </w:r>
            <w:r>
              <w:rPr>
                <w:rFonts w:hint="eastAsia" w:ascii="宋体" w:hAnsi="宋体" w:eastAsia="宋体" w:cs="宋体"/>
                <w:b/>
                <w:bCs/>
                <w:sz w:val="18"/>
                <w:szCs w:val="18"/>
                <w:u w:val="single"/>
                <w:lang w:val="en-US" w:eastAsia="zh-CN"/>
              </w:rPr>
              <w:t>2025年进行了修订，目前待发布状态，标准中</w:t>
            </w:r>
            <w:r>
              <w:rPr>
                <w:rFonts w:hint="default" w:ascii="宋体" w:hAnsi="宋体" w:eastAsia="宋体" w:cs="宋体"/>
                <w:b/>
                <w:bCs/>
                <w:sz w:val="18"/>
                <w:szCs w:val="18"/>
                <w:u w:val="single"/>
                <w:lang w:val="en-US" w:eastAsia="zh-CN"/>
              </w:rPr>
              <w:t>规定了无机干粉建筑涂料的</w:t>
            </w:r>
            <w:r>
              <w:rPr>
                <w:rFonts w:hint="eastAsia" w:ascii="宋体" w:hAnsi="宋体" w:eastAsia="宋体" w:cs="宋体"/>
                <w:b/>
                <w:bCs/>
                <w:sz w:val="18"/>
                <w:szCs w:val="18"/>
                <w:u w:val="single"/>
                <w:lang w:val="en-US" w:eastAsia="zh-CN"/>
              </w:rPr>
              <w:t>分类、技术</w:t>
            </w:r>
            <w:r>
              <w:rPr>
                <w:rFonts w:hint="default" w:ascii="宋体" w:hAnsi="宋体" w:eastAsia="宋体" w:cs="宋体"/>
                <w:b/>
                <w:bCs/>
                <w:sz w:val="18"/>
                <w:szCs w:val="18"/>
                <w:u w:val="single"/>
                <w:lang w:val="en-US" w:eastAsia="zh-CN"/>
              </w:rPr>
              <w:t>要求、试验方法等，为行业提供了基础规范。</w:t>
            </w:r>
            <w:r>
              <w:rPr>
                <w:rFonts w:hint="default" w:ascii="宋体" w:hAnsi="宋体" w:eastAsia="宋体" w:cs="宋体"/>
                <w:sz w:val="18"/>
                <w:szCs w:val="18"/>
                <w:u w:val="none"/>
                <w:lang w:val="en-US" w:eastAsia="zh-CN"/>
              </w:rPr>
              <w:t>近年来，国内科研机构和企业在可见光催化材料改性、复合功能材料开发等方面取得了重要进展。例如，</w:t>
            </w:r>
            <w:r>
              <w:rPr>
                <w:rFonts w:hint="eastAsia" w:ascii="宋体" w:hAnsi="宋体" w:eastAsia="宋体" w:cs="宋体"/>
                <w:sz w:val="18"/>
                <w:szCs w:val="18"/>
                <w:u w:val="none"/>
                <w:lang w:val="en-US" w:eastAsia="zh-CN"/>
              </w:rPr>
              <w:t>中国建材总院</w:t>
            </w:r>
            <w:r>
              <w:rPr>
                <w:rFonts w:hint="default" w:ascii="宋体" w:hAnsi="宋体" w:eastAsia="宋体" w:cs="宋体"/>
                <w:sz w:val="18"/>
                <w:szCs w:val="18"/>
                <w:u w:val="none"/>
                <w:lang w:val="en-US" w:eastAsia="zh-CN"/>
              </w:rPr>
              <w:t>成功开发了氮/银协同掺杂的可见光响应纳米二氧化钛材料，突破了传统二氧化钛依赖紫外光激发的局限，并已开发出相应的无机矿物装饰壁材产品。北京市科学技术研究院城市安全与环境科学研究所研发的N-TiO₂/CuxO无机抗菌净化材料，突破传统材料依赖光照的局限，昼夜环境下均可稳定发挥作用，6小时内对大肠杆菌、金黄色葡萄球菌、流感病毒杀灭率均≥99%，甲醛净化性能&gt;90%，TVOC净化性能&gt;80%，紫外老化1000小时性能衰减&lt;30%，体现了国产技术在该领域的创新能力。商业应用方面，国内已有数十家企业布局无机干粉涂料产品，部分产品通过了国家涂料质量监督检验中心测试并实现量产，如“安涂生”系列无机干粉涂料产品环保等级已超过德国“蓝天使”标准，兼具降解甲醛、释放负氧离子等功能。高校产学研项目如武汉佳碧源科技的“无机干粉微米生态新涂料”也在全国创新创业大赛中获奖，体现了技术成果从实验室走向产业化的良好态势。</w:t>
            </w:r>
          </w:p>
          <w:p w14:paraId="7DBC0684">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从标准化进展来看，2025年是涂料领域功能评价标准的里程碑年份。我国已于2025年正式发布了GB/T 21866-2025《涂膜抗病毒活性和抗菌性测定法》和HG/T 3950-2025《抗菌和抗病毒涂料》，分别于2026年2月1日和3月1日起施行，全面替代已沿用十余年的旧版标准。新版GB/T 21866首次将抗病毒测试纳入标准，以甲型流感病毒H3N2和肠道病毒EV71为指示病毒，填补了旧版仅评估抗菌性能的空白；HG/T 3950从单一的抗菌防霉标准升级为覆盖“细菌+霉菌+病毒”的全方位微生物防护评价体系，并首次建立了产品性能分级制度。国内空气净化性能评价标准JC/T 1074也已于2021年完成修订，代替JC/T 1074-2008版，构成了较为完整的功能性产品评价标准体系。</w:t>
            </w:r>
          </w:p>
          <w:p w14:paraId="19FB96DF">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从技术稳定性来看，该领域核心材料体系（硅酸盐水泥基无机胶凝材料、可再分散胶粉、纳米二氧化钛光催化材料、银离子/锌离子抗菌剂等）已相对成熟，主流的配方设计和制备工艺在学术研究和产业化实践中经过多年验证，短期内发生颠覆性技术变革的可能性较低。鉴于JG/T 445-2014实施已超过10年，同时在可见光响应催化材料、复合功能集成等方面仍有持续优化的空间，预计该技术体系在未来3至5年内将维持“核心稳定、持续演进”的基本态势。本次申报的标准项目定位于使用说明书的规范性编制要求，不涉及产品配方和技术参数的强制性规定，属于管理规范类标准，其核心价值在于引导企业科学、客观地披露产品的功能性能信息，而非限定技术路径和发展方向。因此，本项目的技术基础相对稳定，提出的标准能够较好地适应未来技术发展，也为后续相关标准的进一步细化升级提供了良好的规范框架和基础平台。</w:t>
            </w:r>
          </w:p>
          <w:p w14:paraId="45C3C6FD">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sz w:val="18"/>
                <w:szCs w:val="18"/>
                <w:u w:val="single"/>
              </w:rPr>
              <w:t>项目与国际标准或国外先进标准采用程度的考虑：</w:t>
            </w:r>
            <w:r>
              <w:rPr>
                <w:rFonts w:hint="eastAsia" w:ascii="宋体" w:hAnsi="宋体" w:eastAsia="宋体"/>
                <w:b/>
                <w:bCs/>
                <w:sz w:val="18"/>
                <w:szCs w:val="18"/>
              </w:rPr>
              <w:t>该标准项目是否有对应的国际标准或国外先进标</w:t>
            </w:r>
            <w:r>
              <w:rPr>
                <w:rFonts w:hint="eastAsia" w:ascii="宋体" w:hAnsi="宋体" w:eastAsia="宋体"/>
                <w:b/>
                <w:bCs/>
                <w:color w:val="auto"/>
                <w:sz w:val="18"/>
                <w:szCs w:val="18"/>
              </w:rPr>
              <w:t>准，标准制定过程中如何考虑采用的问题；</w:t>
            </w:r>
          </w:p>
          <w:p w14:paraId="128DD10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经查，该标准没有对应的国际标准，故本项目不涉及采用国际或国外先进标准的问题。</w:t>
            </w:r>
          </w:p>
          <w:p w14:paraId="73C4210E">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color w:val="auto"/>
                <w:sz w:val="18"/>
                <w:szCs w:val="18"/>
                <w:u w:val="single"/>
              </w:rPr>
              <w:t>与国内相关标准间的关系：</w:t>
            </w:r>
            <w:r>
              <w:rPr>
                <w:rFonts w:hint="eastAsia" w:ascii="宋体" w:hAnsi="宋体" w:eastAsia="宋体"/>
                <w:b/>
                <w:bCs/>
                <w:color w:val="auto"/>
                <w:sz w:val="18"/>
                <w:szCs w:val="18"/>
              </w:rPr>
              <w:t>该标准项目是否有相关的国家或行业标准，该标准项目与这些标准是什么关系，该标准项目在标准体系中的位置；</w:t>
            </w:r>
          </w:p>
          <w:p w14:paraId="5FFA18E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本标准项目有相关的国家或行业标准，且与该等标准之间构成配套衔接、引用依据和分工互补的关系。本标准项目在标准体系中定位于建材产品使用说明书系列标准的专用标准层级，填补了功能性无机干粉涂料在说明书写规范方面的空白。</w:t>
            </w:r>
          </w:p>
          <w:p w14:paraId="377FD66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1" w:firstLineChars="200"/>
              <w:textAlignment w:val="auto"/>
              <w:rPr>
                <w:rFonts w:hint="default" w:ascii="宋体" w:hAnsi="宋体" w:eastAsia="宋体"/>
                <w:b/>
                <w:bCs/>
                <w:sz w:val="18"/>
                <w:szCs w:val="18"/>
                <w:lang w:val="en-US" w:eastAsia="zh-CN"/>
              </w:rPr>
            </w:pPr>
            <w:r>
              <w:rPr>
                <w:rFonts w:hint="eastAsia" w:ascii="宋体" w:hAnsi="宋体" w:eastAsia="宋体"/>
                <w:b/>
                <w:bCs/>
                <w:sz w:val="18"/>
                <w:szCs w:val="18"/>
                <w:lang w:val="en-US" w:eastAsia="zh-CN"/>
              </w:rPr>
              <w:t>（1）</w:t>
            </w:r>
            <w:r>
              <w:rPr>
                <w:rFonts w:hint="default" w:ascii="宋体" w:hAnsi="宋体" w:eastAsia="宋体"/>
                <w:b/>
                <w:bCs/>
                <w:sz w:val="18"/>
                <w:szCs w:val="18"/>
                <w:lang w:val="en-US" w:eastAsia="zh-CN"/>
              </w:rPr>
              <w:t>本项目的上位基础和编制依据</w:t>
            </w:r>
          </w:p>
          <w:p w14:paraId="1563D12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JC/T 2971-2026《建材产品使用说明书 通用要求》是该标准项目最直接的上位标准。该通用标准于2026年由工业和信息化部批准发布，规定了建材产品使用说明书的基本要求、编制要求、主要构成和编写示例，适用于建材产品使用说明书的编写，已于2026年11月1日起实施。GB/T 9969-2008《工业产品使用说明书 总则》则为更高层面的上位基础标准，规定了工业产品使用说明书的基本要求和编制方法。本标准项目是在上述通用要求框架下，针对具有防治室内化学与微生物污染功能的专用无机干粉涂料产品使用说明书的编写进行的细化和专用规定，与JC/T 2971-2026和GB/T 9969-2008构成“通用—专用”的完整配套关系。在编写本项目的过程中，上述标准的内容已被直接引用作为框架基础。</w:t>
            </w:r>
            <w:r>
              <w:rPr>
                <w:rFonts w:hint="eastAsia" w:ascii="宋体" w:hAnsi="宋体" w:eastAsia="宋体"/>
                <w:sz w:val="18"/>
                <w:szCs w:val="18"/>
                <w:lang w:val="en-US" w:eastAsia="zh-CN"/>
              </w:rPr>
              <w:t>同时还有JC/T 2083-2026《建筑室内用水基无机干粉涂装材料》（修订版等待发布）产品标准，为本标准制定对应的产品使用说明书标准奠定了基础。</w:t>
            </w:r>
          </w:p>
          <w:p w14:paraId="72DEF1B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1" w:firstLineChars="200"/>
              <w:textAlignment w:val="auto"/>
              <w:rPr>
                <w:rFonts w:hint="default" w:ascii="宋体" w:hAnsi="宋体" w:eastAsia="宋体"/>
                <w:b/>
                <w:bCs/>
                <w:sz w:val="18"/>
                <w:szCs w:val="18"/>
                <w:lang w:val="en-US" w:eastAsia="zh-CN"/>
              </w:rPr>
            </w:pPr>
            <w:r>
              <w:rPr>
                <w:rFonts w:hint="eastAsia" w:ascii="宋体" w:hAnsi="宋体" w:eastAsia="宋体"/>
                <w:b/>
                <w:bCs/>
                <w:sz w:val="18"/>
                <w:szCs w:val="18"/>
                <w:lang w:val="en-US" w:eastAsia="zh-CN"/>
              </w:rPr>
              <w:t>（2）</w:t>
            </w:r>
            <w:r>
              <w:rPr>
                <w:rFonts w:hint="default" w:ascii="宋体" w:hAnsi="宋体" w:eastAsia="宋体"/>
                <w:b/>
                <w:bCs/>
                <w:sz w:val="18"/>
                <w:szCs w:val="18"/>
                <w:lang w:val="en-US" w:eastAsia="zh-CN"/>
              </w:rPr>
              <w:t>本项目在产品性能信息方面引用的标准依据</w:t>
            </w:r>
          </w:p>
          <w:p w14:paraId="79157E6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本项目在要求说明书中披露产品防治性能信息时，明确引用以下与产品技术性能相关的国家和行业标准，构成“标准引用—信息披露”的衔接关系：</w:t>
            </w:r>
          </w:p>
          <w:p w14:paraId="2B472CD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 JG/T 445-2014《无机干粉建筑涂料》：规定了无机干粉建筑涂料的术语定义、分类、要求、试验方法、检验规则等。本标准项目以此作为产品基本性能的技术支撑，要求说明书中参照该标准披露产品的基本性能要求。</w:t>
            </w:r>
          </w:p>
          <w:p w14:paraId="393525A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 JC/T 2083-20</w:t>
            </w:r>
            <w:r>
              <w:rPr>
                <w:rFonts w:hint="eastAsia" w:ascii="宋体" w:hAnsi="宋体" w:eastAsia="宋体"/>
                <w:sz w:val="18"/>
                <w:szCs w:val="18"/>
                <w:lang w:val="en-US" w:eastAsia="zh-CN"/>
              </w:rPr>
              <w:t>26</w:t>
            </w:r>
            <w:r>
              <w:rPr>
                <w:rFonts w:hint="default" w:ascii="宋体" w:hAnsi="宋体" w:eastAsia="宋体"/>
                <w:sz w:val="18"/>
                <w:szCs w:val="18"/>
                <w:lang w:val="en-US" w:eastAsia="zh-CN"/>
              </w:rPr>
              <w:t>《建筑室内用水基无机干粉涂装材料》：规定了以水为分散介质的内墙无机干粉建筑涂覆材料的技术要求。本标准项目将其列为适用标准之一，与JG/T 445-2014形成互补。</w:t>
            </w:r>
          </w:p>
          <w:p w14:paraId="1500533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 GB/T 21866-2025《涂膜抗病毒活性和抗菌性测定法》：2025年发布，首次将抗病毒测试纳入标准，以甲型流感病毒H3N2和肠道病毒EV71为指示病毒，填补了旧版仅评估抗菌性能的空白。本标准项目引用该标准，要求产品在披露抗菌抗病毒性能时应依据其规定的检测方法进行测试和告知。</w:t>
            </w:r>
          </w:p>
          <w:p w14:paraId="5E27316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 HG/T 3950-2025《抗菌和抗病毒涂料》：2025年发布，与GB/T 21866-2025同期实施，从“涂料产品属性”角度规定了抗菌和抗病毒涂料的分类、分级及核心技术指标要求。本标准项目引用该标准，要求产品说明书中按分级规范对微生物防治性能进行明确标注。</w:t>
            </w:r>
          </w:p>
          <w:p w14:paraId="643F868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 JC/T 1074-2021《室内空气净化功能涂覆材料净化性能》：于2021年12月2日发布，2022年4月1日实施，全部代替JC/T 1074-2008版，规定了室内空气净化用涂覆材料的术语</w:t>
            </w:r>
          </w:p>
          <w:p w14:paraId="61258A3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5C25D25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定义、分类与标记、要求、试验方法等。本标准项目引用该</w:t>
            </w:r>
            <w:bookmarkStart w:id="0" w:name="_GoBack"/>
            <w:bookmarkEnd w:id="0"/>
            <w:r>
              <w:rPr>
                <w:rFonts w:hint="default" w:ascii="宋体" w:hAnsi="宋体" w:eastAsia="宋体"/>
                <w:sz w:val="18"/>
                <w:szCs w:val="18"/>
                <w:lang w:val="en-US" w:eastAsia="zh-CN"/>
              </w:rPr>
              <w:t>标准，要求具有空气净化功能的产品，在说明书中按该标准规定的指标体系披露净化效率和净化持久性等关键信息。</w:t>
            </w:r>
          </w:p>
          <w:p w14:paraId="1A217407">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 GB 30981.1-2025《涂料中有害物质限量 第1部分：建筑涂料》：2025年5月30日发布，将于2026年6月1日正式实施，替代GB 18582-2020等多项强制性标准，首次将SVOC（半挥发性有机物）、生物杀伤剂、石棉等纳入限量要求。本标准项目引用该标准，要求产品说明书中披露有害物质限量信息，保障消费者健康和施工安全。</w:t>
            </w:r>
          </w:p>
          <w:p w14:paraId="5B12BC1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1" w:firstLineChars="200"/>
              <w:textAlignment w:val="auto"/>
              <w:rPr>
                <w:rFonts w:hint="default" w:ascii="宋体" w:hAnsi="宋体" w:eastAsia="宋体"/>
                <w:b/>
                <w:bCs/>
                <w:sz w:val="18"/>
                <w:szCs w:val="18"/>
                <w:lang w:val="en-US" w:eastAsia="zh-CN"/>
              </w:rPr>
            </w:pPr>
            <w:r>
              <w:rPr>
                <w:rFonts w:hint="eastAsia" w:ascii="宋体" w:hAnsi="宋体" w:eastAsia="宋体"/>
                <w:b/>
                <w:bCs/>
                <w:sz w:val="18"/>
                <w:szCs w:val="18"/>
                <w:lang w:val="en-US" w:eastAsia="zh-CN"/>
              </w:rPr>
              <w:t>（3）</w:t>
            </w:r>
            <w:r>
              <w:rPr>
                <w:rFonts w:hint="default" w:ascii="宋体" w:hAnsi="宋体" w:eastAsia="宋体"/>
                <w:b/>
                <w:bCs/>
                <w:sz w:val="18"/>
                <w:szCs w:val="18"/>
                <w:lang w:val="en-US" w:eastAsia="zh-CN"/>
              </w:rPr>
              <w:t>本项目的横向协调与互补关系</w:t>
            </w:r>
          </w:p>
          <w:p w14:paraId="6A266CD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与本项目构成横向协调关系的标准主要包括：</w:t>
            </w:r>
          </w:p>
          <w:p w14:paraId="0B9FDBB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 建筑材料行业环境友好与有益健康建筑材料标准化技术委员会归口管理的修订中标准《建筑用水基无机干粉室内装饰材料》（修订版），该标准预计将在产品技术要求层面进行更新，与本项目在无机干粉涂料产品的技术指标方面形成互补关系</w:t>
            </w:r>
            <w:r>
              <w:rPr>
                <w:rFonts w:hint="eastAsia" w:ascii="宋体" w:hAnsi="宋体" w:eastAsia="宋体"/>
                <w:sz w:val="18"/>
                <w:szCs w:val="18"/>
                <w:lang w:val="en-US" w:eastAsia="zh-CN"/>
              </w:rPr>
              <w:t>。</w:t>
            </w:r>
          </w:p>
          <w:p w14:paraId="5C00DCD2">
            <w:pPr>
              <w:numPr>
                <w:ilvl w:val="0"/>
                <w:numId w:val="4"/>
              </w:numPr>
              <w:snapToGrid w:val="0"/>
              <w:spacing w:line="360" w:lineRule="auto"/>
              <w:ind w:left="0" w:leftChars="0" w:firstLine="0" w:firstLineChars="0"/>
              <w:rPr>
                <w:rFonts w:hint="eastAsia" w:ascii="宋体" w:hAnsi="宋体" w:eastAsia="宋体"/>
                <w:b/>
                <w:bCs/>
                <w:sz w:val="18"/>
                <w:szCs w:val="18"/>
                <w:u w:val="single"/>
              </w:rPr>
            </w:pPr>
            <w:r>
              <w:rPr>
                <w:rFonts w:hint="eastAsia" w:ascii="宋体" w:hAnsi="宋体" w:eastAsia="宋体"/>
                <w:b/>
                <w:bCs/>
                <w:sz w:val="18"/>
                <w:szCs w:val="18"/>
                <w:u w:val="single"/>
              </w:rPr>
              <w:t>指出是否发现有知识产权的问题。</w:t>
            </w:r>
          </w:p>
          <w:p w14:paraId="624039B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经查阅不涉及专利。</w:t>
            </w:r>
          </w:p>
        </w:tc>
      </w:tr>
      <w:tr w14:paraId="0267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14:paraId="246FFCDC">
            <w:pPr>
              <w:pStyle w:val="6"/>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vAlign w:val="center"/>
          </w:tcPr>
          <w:p w14:paraId="18971973">
            <w:pPr>
              <w:snapToGrid w:val="0"/>
              <w:spacing w:line="360" w:lineRule="auto"/>
              <w:jc w:val="center"/>
              <w:rPr>
                <w:rFonts w:ascii="宋体" w:hAnsi="宋体" w:eastAsia="宋体"/>
                <w:sz w:val="18"/>
                <w:szCs w:val="18"/>
              </w:rPr>
            </w:pPr>
          </w:p>
          <w:p w14:paraId="62674B69">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182AB16E">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14:paraId="6A125936">
            <w:pPr>
              <w:snapToGrid w:val="0"/>
              <w:spacing w:line="360" w:lineRule="auto"/>
              <w:rPr>
                <w:rFonts w:ascii="宋体" w:hAnsi="宋体" w:eastAsia="宋体"/>
                <w:sz w:val="18"/>
                <w:szCs w:val="18"/>
              </w:rPr>
            </w:pPr>
          </w:p>
          <w:p w14:paraId="79A663D1">
            <w:pPr>
              <w:snapToGrid w:val="0"/>
              <w:rPr>
                <w:rFonts w:ascii="宋体" w:hAnsi="宋体" w:eastAsia="宋体"/>
                <w:sz w:val="18"/>
                <w:szCs w:val="18"/>
              </w:rPr>
            </w:pPr>
            <w:r>
              <w:rPr>
                <w:rFonts w:hint="eastAsia" w:ascii="宋体" w:hAnsi="宋体" w:eastAsia="宋体"/>
                <w:sz w:val="18"/>
                <w:szCs w:val="18"/>
              </w:rPr>
              <w:t>（签字、盖公章）</w:t>
            </w:r>
          </w:p>
          <w:p w14:paraId="64E6BA93">
            <w:pPr>
              <w:snapToGrid w:val="0"/>
              <w:rPr>
                <w:rFonts w:ascii="宋体" w:hAnsi="宋体" w:eastAsia="宋体"/>
                <w:sz w:val="18"/>
                <w:szCs w:val="18"/>
              </w:rPr>
            </w:pPr>
            <w:r>
              <w:rPr>
                <w:rFonts w:hint="eastAsia" w:ascii="宋体" w:hAnsi="宋体" w:eastAsia="宋体"/>
                <w:sz w:val="18"/>
                <w:szCs w:val="18"/>
              </w:rPr>
              <w:t xml:space="preserve">    月     日</w:t>
            </w:r>
          </w:p>
        </w:tc>
      </w:tr>
    </w:tbl>
    <w:p w14:paraId="7A5CB49F">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65BFAE09">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67C3A64D">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744BA66C">
      <w:pPr>
        <w:snapToGrid w:val="0"/>
        <w:rPr>
          <w:sz w:val="18"/>
          <w:szCs w:val="18"/>
        </w:rPr>
      </w:pPr>
    </w:p>
    <w:p w14:paraId="66926D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701661"/>
    <w:multiLevelType w:val="singleLevel"/>
    <w:tmpl w:val="0C701661"/>
    <w:lvl w:ilvl="0" w:tentative="0">
      <w:start w:val="1"/>
      <w:numFmt w:val="decimal"/>
      <w:suff w:val="space"/>
      <w:lvlText w:val="%1."/>
      <w:lvlJc w:val="left"/>
    </w:lvl>
  </w:abstractNum>
  <w:abstractNum w:abstractNumId="1">
    <w:nsid w:val="0FC943DC"/>
    <w:multiLevelType w:val="singleLevel"/>
    <w:tmpl w:val="0FC943DC"/>
    <w:lvl w:ilvl="0" w:tentative="0">
      <w:start w:val="1"/>
      <w:numFmt w:val="decimal"/>
      <w:suff w:val="nothing"/>
      <w:lvlText w:val="%1）"/>
      <w:lvlJc w:val="left"/>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9"/>
      <w:suff w:val="nothing"/>
      <w:lvlText w:val="%1%2　"/>
      <w:lvlJc w:val="left"/>
      <w:pPr>
        <w:ind w:left="0" w:firstLine="0"/>
      </w:pPr>
      <w:rPr>
        <w:rFonts w:hint="eastAsia" w:ascii="黑体" w:eastAsia="黑体"/>
        <w:b w:val="0"/>
        <w:i w:val="0"/>
        <w:sz w:val="21"/>
      </w:rPr>
    </w:lvl>
    <w:lvl w:ilvl="2" w:tentative="0">
      <w:start w:val="1"/>
      <w:numFmt w:val="decimal"/>
      <w:pStyle w:val="18"/>
      <w:suff w:val="nothing"/>
      <w:lvlText w:val="%1%2.%3　"/>
      <w:lvlJc w:val="left"/>
      <w:pPr>
        <w:ind w:left="609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2835"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723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99"/>
    <w:rsid w:val="00314295"/>
    <w:rsid w:val="00631028"/>
    <w:rsid w:val="00747499"/>
    <w:rsid w:val="00A618D0"/>
    <w:rsid w:val="00E03E1D"/>
    <w:rsid w:val="00F7264B"/>
    <w:rsid w:val="04041965"/>
    <w:rsid w:val="076F17EB"/>
    <w:rsid w:val="07A22BB8"/>
    <w:rsid w:val="086C5D2B"/>
    <w:rsid w:val="0F9D2C6D"/>
    <w:rsid w:val="0FB8533B"/>
    <w:rsid w:val="17835CBE"/>
    <w:rsid w:val="1C224C26"/>
    <w:rsid w:val="1D6B6159"/>
    <w:rsid w:val="21141374"/>
    <w:rsid w:val="21415B4F"/>
    <w:rsid w:val="29325D7D"/>
    <w:rsid w:val="29F85218"/>
    <w:rsid w:val="2D34352C"/>
    <w:rsid w:val="31083F93"/>
    <w:rsid w:val="33DF45BF"/>
    <w:rsid w:val="35CA549A"/>
    <w:rsid w:val="36171DC5"/>
    <w:rsid w:val="38BD49C5"/>
    <w:rsid w:val="39822409"/>
    <w:rsid w:val="39BA4D27"/>
    <w:rsid w:val="3B5953EB"/>
    <w:rsid w:val="3B691AD2"/>
    <w:rsid w:val="43536B83"/>
    <w:rsid w:val="44B10046"/>
    <w:rsid w:val="4ABA40F8"/>
    <w:rsid w:val="52461E2B"/>
    <w:rsid w:val="52BB7F3F"/>
    <w:rsid w:val="57B95737"/>
    <w:rsid w:val="5A0233C6"/>
    <w:rsid w:val="5AFD43A2"/>
    <w:rsid w:val="5B5E462C"/>
    <w:rsid w:val="5E7C6EF9"/>
    <w:rsid w:val="616E30EF"/>
    <w:rsid w:val="61A11A3C"/>
    <w:rsid w:val="62FB0777"/>
    <w:rsid w:val="65FE0C02"/>
    <w:rsid w:val="6A94006A"/>
    <w:rsid w:val="757D1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0"/>
      <w:lang w:val="en-US" w:eastAsia="zh-CN" w:bidi="ar-SA"/>
    </w:rPr>
  </w:style>
  <w:style w:type="paragraph" w:styleId="2">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99"/>
    <w:pPr>
      <w:autoSpaceDE w:val="0"/>
      <w:autoSpaceDN w:val="0"/>
      <w:adjustRightInd w:val="0"/>
      <w:ind w:left="118"/>
      <w:jc w:val="left"/>
    </w:pPr>
    <w:rPr>
      <w:rFonts w:ascii="宋体" w:cs="宋体"/>
      <w:kern w:val="0"/>
      <w:szCs w:val="21"/>
    </w:rPr>
  </w:style>
  <w:style w:type="paragraph" w:styleId="5">
    <w:name w:val="footer"/>
    <w:basedOn w:val="1"/>
    <w:link w:val="13"/>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semiHidden/>
    <w:unhideWhenUsed/>
    <w:qFormat/>
    <w:uiPriority w:val="99"/>
    <w:rPr>
      <w:sz w:val="24"/>
    </w:rPr>
  </w:style>
  <w:style w:type="character" w:styleId="10">
    <w:name w:val="Strong"/>
    <w:basedOn w:val="9"/>
    <w:qFormat/>
    <w:uiPriority w:val="22"/>
    <w:rPr>
      <w:b/>
    </w:rPr>
  </w:style>
  <w:style w:type="character" w:styleId="11">
    <w:name w:val="Hyperlink"/>
    <w:basedOn w:val="9"/>
    <w:semiHidden/>
    <w:unhideWhenUsed/>
    <w:qFormat/>
    <w:uiPriority w:val="99"/>
    <w:rPr>
      <w:color w:val="0000FF"/>
      <w:u w:val="single"/>
    </w:rPr>
  </w:style>
  <w:style w:type="character" w:customStyle="1" w:styleId="12">
    <w:name w:val="页眉 Char"/>
    <w:basedOn w:val="9"/>
    <w:link w:val="6"/>
    <w:qFormat/>
    <w:uiPriority w:val="0"/>
    <w:rPr>
      <w:sz w:val="18"/>
      <w:szCs w:val="18"/>
    </w:rPr>
  </w:style>
  <w:style w:type="character" w:customStyle="1" w:styleId="13">
    <w:name w:val="页脚 Char"/>
    <w:basedOn w:val="9"/>
    <w:link w:val="5"/>
    <w:semiHidden/>
    <w:qFormat/>
    <w:uiPriority w:val="99"/>
    <w:rPr>
      <w:sz w:val="18"/>
      <w:szCs w:val="18"/>
    </w:rPr>
  </w:style>
  <w:style w:type="paragraph" w:customStyle="1" w:styleId="14">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目次、标准名称标题"/>
    <w:basedOn w:val="1"/>
    <w:next w:val="1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
    <w:name w:val="标准文件_一级条标题"/>
    <w:basedOn w:val="19"/>
    <w:next w:val="20"/>
    <w:qFormat/>
    <w:uiPriority w:val="0"/>
    <w:pPr>
      <w:numPr>
        <w:ilvl w:val="2"/>
      </w:numPr>
      <w:spacing w:before="50" w:beforeLines="50" w:after="50" w:afterLines="50"/>
      <w:ind w:left="0"/>
      <w:outlineLvl w:val="1"/>
    </w:pPr>
  </w:style>
  <w:style w:type="paragraph" w:customStyle="1" w:styleId="19">
    <w:name w:val="标准文件_章标题"/>
    <w:next w:val="20"/>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一级条标题"/>
    <w:next w:val="14"/>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5955</Words>
  <Characters>6478</Characters>
  <Lines>4</Lines>
  <Paragraphs>1</Paragraphs>
  <TotalTime>0</TotalTime>
  <ScaleCrop>false</ScaleCrop>
  <LinksUpToDate>false</LinksUpToDate>
  <CharactersWithSpaces>6564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刘蕊蕊</cp:lastModifiedBy>
  <dcterms:modified xsi:type="dcterms:W3CDTF">2026-06-26T08:04:49Z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eyJoZGlkIjoiZWFkNmEyNGI4NDEzMGMxZjI4YzExODVhY2VjNzJiN2EiLCJ1c2VySWQiOiIxMjY1ODEzNjU2In0=</vt:lpwstr>
  </property>
  <property fmtid="{D5CDD505-2E9C-101B-9397-08002B2CF9AE}" pid="3" name="KSOProductBuildVer">
    <vt:lpwstr>2052-12.1.0.26895</vt:lpwstr>
  </property>
  <property fmtid="{D5CDD505-2E9C-101B-9397-08002B2CF9AE}" pid="4" name="ICV">
    <vt:lpwstr>596CA8CF9E94443893C9BC8C7F4949E8_13</vt:lpwstr>
  </property>
</Properties>
</file>